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Malmö kommunfullmäktige</w:t>
      </w:r>
    </w:p>
    <w:p>
      <w:pPr>
        <w:pStyle w:val="Heading1"/>
      </w:pPr>
      <w:r>
        <w:t xml:space="preserve">Förenkla tillstånd och sänk avgifter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Malmö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Malmö rankas 180 av 290 kommuner i företagsklimat (Svenskt Näringsliv 2025). Långa handläggningstider och höga avgifter hämmar nystartade företag. Enklare regler kan öka antalet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Malmö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maximal handläggningstid på 15 dagar för vanliga 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sänka avgifterna för serveringstillstånd och bygglov med 30 procent.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digital one-stop-shop för företagskontakter.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och redovisa företagsklimatets utveckling.</w:t>
      </w:r>
    </w:p>
    <w:p>
      <w:pPr>
        <w:spacing w:before="360"/>
      </w:pPr>
    </w:p>
    <w:p>
      <w:r>
        <w:t xml:space="preserve">Malmö,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Malmö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2026-07-14T00:46:08.570Z</dcterms:created>
  <dcterms:modified xsi:type="dcterms:W3CDTF">2026-07-14T00:46:08.570Z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